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Arial Unicode MS" w:hAnsi="Arial Unicode MS" w:eastAsia="Arial Unicode MS" w:cs="Arial Unicode MS"/>
          <w:sz w:val="22"/>
          <w:szCs w:val="22"/>
        </w:rPr>
      </w:pPr>
      <w:bookmarkStart w:id="0" w:name="_GoBack"/>
      <w:r>
        <w:rPr>
          <w:rFonts w:hint="eastAsia" w:ascii="Arial Unicode MS" w:hAnsi="Arial Unicode MS" w:eastAsia="Arial Unicode MS" w:cs="Arial Unicode MS"/>
          <w:sz w:val="22"/>
          <w:szCs w:val="22"/>
        </w:rPr>
        <w:t>https://conselho.saude.gov.br/resolucoes/2011/Reso441.pdf</w:t>
      </w:r>
    </w:p>
    <w:p>
      <w:pPr>
        <w:rPr>
          <w:rFonts w:hint="eastAsia" w:ascii="Arial Unicode MS" w:hAnsi="Arial Unicode MS" w:eastAsia="Arial Unicode MS" w:cs="Arial Unicode MS"/>
          <w:sz w:val="22"/>
          <w:szCs w:val="22"/>
        </w:rPr>
      </w:pPr>
    </w:p>
    <w:p>
      <w:pPr>
        <w:rPr>
          <w:rFonts w:hint="eastAsia" w:ascii="Arial Unicode MS" w:hAnsi="Arial Unicode MS" w:eastAsia="Arial Unicode MS" w:cs="Arial Unicode MS"/>
          <w:sz w:val="22"/>
          <w:szCs w:val="22"/>
        </w:rPr>
      </w:pPr>
    </w:p>
    <w:p>
      <w:pPr>
        <w:rPr>
          <w:rFonts w:hint="eastAsia" w:ascii="Arial Unicode MS" w:hAnsi="Arial Unicode MS" w:eastAsia="Arial Unicode MS" w:cs="Arial Unicode MS"/>
          <w:sz w:val="22"/>
          <w:szCs w:val="22"/>
        </w:rPr>
      </w:pPr>
    </w:p>
    <w:p>
      <w:pPr>
        <w:rPr>
          <w:rFonts w:hint="eastAsia"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RESOLUÇÃO CNS Nº 441</w:t>
      </w:r>
    </w:p>
    <w:p>
      <w:pPr>
        <w:rPr>
          <w:rFonts w:hint="eastAsia"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 xml:space="preserve">DE 12 DE MAIO DE 2011. </w:t>
      </w:r>
    </w:p>
    <w:p>
      <w:pPr>
        <w:rPr>
          <w:rFonts w:hint="eastAsia" w:ascii="Arial Unicode MS" w:hAnsi="Arial Unicode MS" w:eastAsia="Arial Unicode MS" w:cs="Arial Unicode MS"/>
          <w:sz w:val="22"/>
          <w:szCs w:val="22"/>
        </w:rPr>
      </w:pPr>
    </w:p>
    <w:p>
      <w:pPr>
        <w:rPr>
          <w:rFonts w:hint="eastAsia"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 xml:space="preserve">O Plenário do Conselho Nacional de Saúde, em sua Ducentésima Vigésima Primeira Reunião Ordinária, realizada nos dias 11 e 12 de maio de 2011, no uso de suas competências regimentais e atribuições conferidas pela Lei no 8.080, de 19 de setembro de 1990, pela Lei no 8.142, de 28 de dezembro de 1990, e pelo Decreto no 5.839, de 11 de julho de 2006, e Considerando a necessidade de atualizar a complementação da regulamentação da Resolução CNS no 196/96 no que diz respeito ao armazenamento e à utilização de material biológico humano com finalidade de pesquisa; Considerando a importância da utilização de material biológico humano para o desenvolvimento das ciências da saúde; Considerando os subsídios advindos do Sistema EP/CONEP e a experiência acumulada na análise dos projetos de pesquisas que envolvem material biológico humano; Considerando a necessidade de ser observada a proteção dos Direitos Humanos, das liberdades fundamentais e do respeito à dignidade humana na coleta, depósito, armazenamento, utilização e descarte de material biológico humano, resolve: Art. 1o Aprovar as seguintes diretrizes para análise ética de projetos de pesquisas que envolvam armazenamento de material biológico humano ou uso de material armazenado em pesquisas anteriores: 1. Para os efeitos desta Resolução, considera-se: I - Biobanco: coleção organizada de material biológico humano e informações associadas, coletado e armazenado para fins de pesquisa, conforme regulamento ou normas técnicas, éticas e operacionais pré-definidas, sob responsabilidade e gerenciamento institucional, sem fins comerciais; II - Biorrepositório: coleção de material biológico humano, coletado e armazenado ao longo da execução de um projeto de pesquisa específico, conforme regulamento ou normas técnicas, éticas e operacionais pré-definidas, sob responsabilidade institucional e sob gerenciamento do pesquisador, sem fins comerciais; III - Material Biológico Humano: espécimes, amostras e alíquotas de material original e seus componentes fracionados; IV - Projeto de Pesquisa: documento em que é descrita a pesquisa em seus aspectos fundamentais, incluindo informações relativas ao sujeito da pesquisa, detalhamento a respeito dos métodos que serão utilizados para a coleta e tratamento das amostras biológicas, qualificação dos pesquisadores e instâncias responsáveis; V - Protocolo de Desenvolvimento: documento no qual são definidos a constituição de um Biobanco, seus responsáveis e seus aspectos fundamentais, como o Termo de Consentimento Livre e Esclarecido (TCLE) a ser utilizado; as informações relativas ao sujeito e às amostras; e as etapas de coleta, processamento, armazenamento, distribuição e descarte de material biológico humano; e VI - Sujeito da pesquisa: aquele que, de forma esclarecida, livre e autônoma, consente em participar de pesquisas, atuais ou potenciais, associadas ao armazenamento de material biológico humano em Biorrepositório ou Biobanco. 2. Sempre que houver previsão de armazenamento de material biológico humano, no País ou no exterior, visando à possibilidade de utilização em investigações futuras, além do cumprimento dos requisitos da Resolução CNS no 196/96 e complementares, devem ser apresentados: I - justificativa quanto à necessidade e oportunidade para utilização futura; II - consentimento do sujeito da pesquisa, autorizando a coleta, o depósito, o armazenamento e a utilização do material biológico humano; III - declaração de que toda nova pesquisa a ser realizada com o material armazenado será submetida para aprovação do Comitê de Ética em Pesquisa (CEP) institucional e, quando for o caso, da Comissão Nacional de Ética em Pesquisa (CONEP); e IV - regulamento aprovado pela instituição depositária destinado à constituição e ao funcionamento do banco de material biológico humano. 3. No caso de Biobanco: I - o Regulamento corresponde ao seu Protocolo de Desenvolvimento, devendo ser primeiramente analisado pelo CEP institucional ou por CEP indicado pela CONEP e, quando aprovado, ser necessariamente avaliado e </w:t>
      </w:r>
      <w:r>
        <w:rPr>
          <w:rFonts w:hint="eastAsia" w:ascii="Arial Unicode MS" w:hAnsi="Arial Unicode MS" w:eastAsia="Arial Unicode MS" w:cs="Arial Unicode MS"/>
          <w:sz w:val="22"/>
          <w:szCs w:val="22"/>
        </w:rPr>
        <w:t xml:space="preserve">receber parecer final da CONEP; II - o Protocolo de Desenvolvimento é necessário para o credenciamento do Biobanco, devendo ser apresentado no momento de sua proposição e avaliado de acordo com os prazos de tramitação estabelecidos no Sistema CEP/CONEP; e III - o Biobanco deve conter um sistema seguro de identificação, que garanta o sigilo, o respeito à confidencialidade e à recuperação dos dados dos sujeitos da pesquisa, para fornecimento de informações do interesse destes ou para a obtenção de consentimento específico para utilização em nova pesquisa; IV - quando houver alteração da titularidade da responsabilidade pelo Biobanco, tal fato deve ser prontamente comunicado ao Sistema CEP/CONEP; e V - os Biobancos estão sujeitos à inspeção sanitária pelos órgãos competentes. 4. No caso de Biorrepositório, as condições associadas ao armazenamento de material biológico humano devem estar explicitadas no Projeto de Pesquisa respectivo, devendo seu Regulamento ser apreciado pelo CEP institucional ou por CEP indicado pela CONEP e, quando for o caso, pela CONEP, segundo atribuições definidas na Resolução CNS no 196/96 e complementares. 5. O consentimento livre e esclarecido referente à coleta, depósito, armazenamento e utilização de material biológico humano em Biobanco é formalizado através de TCLE, por meio do qual o sujeito da pesquisa deve se manifestar expressamente quanto às seguintes alternativas, excludentes entre si: I - necessidade de novo consentimento a cada pesquisa; e II - dispensa de novo consentimento a cada pesquisa. a) O TCLE deve conter referência aos tipos de informação que poderão ser obtidos nas pesquisas futuras, a partir da utilização do material biológico humano armazenado, para fins de conhecimento e decisão autônoma do sujeito. b) O TCLE deve conter a garantia expressa da possibilidade de acesso pelo sujeito da pesquisa, inclusive a(s) forma(s) de contato para tal, ao conhecimento dos resultados obtidos com a utilização do seu material biológico e às orientações quanto as suas implicações, incluindo aconselhamento genético quando aplicável, a qualquer tempo. c) O TCLE pode conter manifestação expressa da vontade do sujeito da pesquisa quanto à cessão dos direitos sobre o material armazenado aos sucessores ou outros por ele indicado, em caso de óbito ou condição incapacitante. d) O TCLE deve informar ao sujeito que os dados fornecidos, coletados e obtidos a partir de pesquisas poderão ser utilizados nas pesquisas futuras. e) O TCLE pode conter referência à autorização de descarte do material armazenado e às situações nas quais o mesmo é possível. 6. O consentimento livre e esclarecido referente à coleta, depósito, armazenamento, utilização e descarte de material biológico humano em Biorrepositório é formalizado por meio de TCLE específico para cada pesquisa, conforme preconizado nas resoluções do Conselho Nacional de Saúde (CNS). 7. A transferência do material biológico humano armazenado entre Biobancos ou Biorrepositórios, da própria ou de outra instituição, deve ser comunicada ao sujeito da pesquisa, sempre que possível ou, na impossibilidade, deve ser apresentada justificativa ao Sistema CEP/CONEP. 8. O sujeito da pesquisa deve ser informado sobre a perda ou destruição de suas amostras biológicas, bem como sobre o encerramento do Biobanco ou do Biorrepositório, quando for o caso. 9. O material biológico humano armazenado em Biobanco ou Biorrepositório é do sujeito da pesquisa, permanecendo sua guarda sob a responsabilidade institucional. I - O gerenciamento do material biológico humano armazenado em Biobanco cabe à instituição e no caso de Biorrepositório ao pesquisador responsável. 10. O sujeito da pesquisa, ou seu representante legal, a qualquer tempo e sem quaisquer ônus ou prejuízos, pode retirar o consentimento de guarda e utilização do material biológico armazenado em Biobanco ou Biorrepositório, valendo a desistência a partir da data de formalização desta. I - A retirada do consentimento será formalizada por manifestação, por escrito e assinada, </w:t>
      </w:r>
      <w:r>
        <w:rPr>
          <w:rFonts w:hint="eastAsia" w:ascii="Arial Unicode MS" w:hAnsi="Arial Unicode MS" w:eastAsia="Arial Unicode MS" w:cs="Arial Unicode MS"/>
          <w:sz w:val="22"/>
          <w:szCs w:val="22"/>
        </w:rPr>
        <w:t>pelo sujeito da pesquisa ou seu representante legal, cabendo-lhe a devolução das amostras existentes. 11. O prazo de armazenamento de material biológico humano em Biobanco é indeterminado, sendo a manutenção de seu credenciamento subordinada ao atendimento das normas vigentes. I - A cada cinco anos, contados a partir da sua constituição, ou a qualquer tempo, por solicitação da CONEP, a instituição responsável pelo Biobanco deve apresentar relatório de atividades do período ao Sistema CEP/CONEP, constando, obrigatoriamente, o número de sujeitos incluídos no período e a relação de pesquisas que utilizaram amostras armazenadas. II - O descarte do material biológico humano armazenado em Biobanco pode ocorrer: a) pela manifesta vontade do sujeito da pesquisa; b) devido à inadequação da amostra por critérios de qualidade; c) por iniciativa da instituição; e d) pela dissolução do Biobanco. III - Nas hipóteses previstas nas alíneas “c” e “d”, são obrigatórias: a) a oferta formal do material armazenado a, no mínimo, duas instituições de pesquisa que possuam Biobanco e a apresentação comprovada da recusa; e b) a submissão da decisão institucional e da destinação do material biológico ao CEP, que as encaminhará para avaliação da CONEP. 12. O prazo de armazenamento de material biológico humano em Biorrepositório deve estar de acordo com o cronograma da pesquisa correspondente e pode ser autorizado por até dez anos. I - Renovações da autorização de armazenamento são permitidas mediante solicitação do pesquisador responsável, ao CEP, acompanhada de justificativa e relatório das atividades de pesquisa desenvolvidas com o material durante o período. II - Ao final do período de realização da pesquisa, o material biológico humano armazenado em Biorrepositório pode: a) permanecer armazenado, se em conformidade com as normas pertinentes do CNS; b) ser transferido formalmente para outro Biorrepositório ou Biobanco, mediante aprovação dos CEP e das instituições envolvidas; e c) ser descartado, conforme normas vigentes de órgãos técnicos competentes, e de acordo com o TCLE, respeitando-se a confidencialidade e a autonomia do sujeito da pesquisa. 13. No caso de pesquisa envolvendo mais de uma instituição deve haver acordo firmado entre as instituições participantes, contemplando formas de operacionalização, compartilhamento e utilização do material biológico humano armazenado em Biobanco ou Biorrepositório, inclusive a possibilidade de dissolução futura da parceria e a consequente partilha e destinação dos dados e materiais armazenados, conforme previsto no TCLE. I - É necessário explicitar o tipo e a quantidade dos materiais compartilhados, informando sua destinação após a utilização. 14. No caso de constituição ou participação em banco de material biológico humano no exterior, devem ser obedecidas as normas nacionais e internacionais para remessa de material e ser apresentado o regulamento da instituição destinatária para análise do Sistema CEP/CONEP quanto ao atendimento dos requisitos desta Resolução. I - O pesquisador e instituição brasileiros devem ter direito ao acesso e à utilização, em pesquisas futuras, do material biológico humano armazenado no exterior, não necessariamente das amostras por ele depositadas pelo pesquisador, garantida, no mínimo, a proporcionalidade da participação. II - O direito de acesso e utilização compreende as amostras, informações associadas e resultados incorporados ao banco, obtidos em pesquisas aprovadas pelo Sistema CEP/CONEP. III - os direitos relativos ao material biológico humano armazenado no exterior não podem ser considerados exclusivos de Estado ou instituição. IV - A utilização de amostras de brasileiros armazenadas no exterior somente poderá se realizar se observado o art. 5º desta Resolução e com a participação de pesquisador e/ou instituição brasileiros. V - A instituição destinatária no exterior deve comprometer-se a respeitar a legislação brasileira, em especial a vedação do patenteamento e da utilização comercial de material biológico humano. 15</w:t>
      </w:r>
      <w:r>
        <w:rPr>
          <w:rFonts w:hint="eastAsia" w:ascii="Arial Unicode MS" w:hAnsi="Arial Unicode MS" w:eastAsia="Arial Unicode MS" w:cs="Arial Unicode MS"/>
          <w:sz w:val="22"/>
          <w:szCs w:val="22"/>
        </w:rPr>
        <w:t>. Sobre a utilização de amostras de material biológico humano armazenado: I - as amostras armazenadas podem ser utilizadas em novas pesquisas aprovadas pelo CEP e, quando for o caso, pela CONEP; II - os projetos de pesquisas que pretendam utilizar amostras armazenadas devem incluir: a) justificativa para utilização do material; b) cópia do TCLE empregado quando da coleta do material, contendo autorização de armazenamento e possível utilização futura em pesquisa, se o armazenamento ocorreu a partir da homologação da Resolução CNS no 196/96; e c) TCLE específico para nova pesquisa ou a solicitação de sua dispensa, conforme disposto no art. 5o desta Resolução. III - quando fundamentada a impossibilidade de obtenção do consentimento específico para a nova pesquisa, mediante opção do sujeito em ser consultado a cada pesquisa, cabe ao CEP autorizar, ou não, a utilização do material biológico humano armazenado em Biobanco ou Biorrepositório. 16. A legislação brasileira veda o patenteamento e a utilização comercial de material biológico humano armazenado em Biobancos e Biorrepositórios. 17. Os Biobancos constituídos a partir da homologação desta Resolução deverão adequar-se à mesma e os constituídos anteriormente terão o prazo de um ano para sua regularização, contado a partir da data de homologação. I - a regularização prevista no art. 17 será objeto de análise e aprovação pelo Sistema CEP/CONEP. 18. Fica revogada a Resolução CNS no 347, de 13 de janeiro de 2005, publicada no Diário Oficial da União no 47, de 10 de março de 2005. ALEXANDRE ROCHA SANTOS PADILHA Presidente do Conselho Nacional de Saúde Homologo a Resolução CNS no 441, de 12 de maio de 2011, nos termos do Decreto n o 5.839, de 11 de julho de 2006. ALEXANDRE ROCHA SANTOS PADILHA Ministro de Estado da Saúde</w:t>
      </w:r>
    </w:p>
    <w:p>
      <w:pPr>
        <w:rPr>
          <w:rFonts w:hint="eastAsia" w:ascii="Arial Unicode MS" w:hAnsi="Arial Unicode MS" w:eastAsia="Arial Unicode MS" w:cs="Arial Unicode MS"/>
          <w:sz w:val="22"/>
          <w:szCs w:val="22"/>
        </w:rPr>
      </w:pPr>
    </w:p>
    <w:p>
      <w:pPr>
        <w:rPr>
          <w:rFonts w:hint="eastAsia" w:ascii="Arial Unicode MS" w:hAnsi="Arial Unicode MS" w:eastAsia="Arial Unicode MS" w:cs="Arial Unicode MS"/>
          <w:sz w:val="22"/>
          <w:szCs w:val="22"/>
        </w:rPr>
      </w:pPr>
    </w:p>
    <w:p>
      <w:pPr>
        <w:rPr>
          <w:rFonts w:hint="eastAsia" w:ascii="Arial Unicode MS" w:hAnsi="Arial Unicode MS" w:eastAsia="Arial Unicode MS" w:cs="Arial Unicode MS"/>
          <w:sz w:val="22"/>
          <w:szCs w:val="22"/>
        </w:rPr>
      </w:pPr>
    </w:p>
    <w:p>
      <w:pPr>
        <w:rPr>
          <w:rFonts w:hint="eastAsia" w:ascii="Arial Unicode MS" w:hAnsi="Arial Unicode MS" w:eastAsia="Arial Unicode MS" w:cs="Arial Unicode MS"/>
          <w:sz w:val="22"/>
          <w:szCs w:val="22"/>
        </w:rPr>
      </w:pP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1F373F"/>
    <w:rsid w:val="65DC5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2021-05-04T12:36:00Z</dcterms:created>
  <dc:creator>Guilherme</dc:creator>
  <cp:lastModifiedBy>Guilherme</cp:lastModifiedBy>
  <dcterms:modified xsi:type="dcterms:W3CDTF">2021-05-04T13:51:19Z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1046-11.2.0.10114</vt:lpwstr>
  </property>
</Properties>
</file>