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Unicode MS" w:hAnsi="Arial Unicode MS" w:eastAsia="Arial Unicode MS" w:cs="Arial Unicode MS"/>
          <w:sz w:val="22"/>
          <w:szCs w:val="22"/>
          <w:highlight w:val="yellow"/>
        </w:rPr>
      </w:pPr>
      <w:bookmarkStart w:id="0" w:name="_GoBack"/>
      <w:r>
        <w:rPr>
          <w:rFonts w:hint="eastAsia" w:ascii="Arial Unicode MS" w:hAnsi="Arial Unicode MS" w:eastAsia="Arial Unicode MS" w:cs="Arial Unicode MS"/>
          <w:sz w:val="22"/>
          <w:szCs w:val="22"/>
          <w:highlight w:val="yellow"/>
        </w:rPr>
        <w:fldChar w:fldCharType="begin"/>
      </w:r>
      <w:r>
        <w:rPr>
          <w:rFonts w:hint="eastAsia" w:ascii="Arial Unicode MS" w:hAnsi="Arial Unicode MS" w:eastAsia="Arial Unicode MS" w:cs="Arial Unicode MS"/>
          <w:sz w:val="22"/>
          <w:szCs w:val="22"/>
          <w:highlight w:val="yellow"/>
        </w:rPr>
        <w:instrText xml:space="preserve"> HYPERLINK "https://bvsms.saude.gov.br/bvs/saudelegis/cns/1999/res0292_08_07_1999.html" </w:instrText>
      </w:r>
      <w:r>
        <w:rPr>
          <w:rFonts w:hint="eastAsia" w:ascii="Arial Unicode MS" w:hAnsi="Arial Unicode MS" w:eastAsia="Arial Unicode MS" w:cs="Arial Unicode MS"/>
          <w:sz w:val="22"/>
          <w:szCs w:val="22"/>
          <w:highlight w:val="yellow"/>
        </w:rPr>
        <w:fldChar w:fldCharType="separate"/>
      </w:r>
      <w:r>
        <w:rPr>
          <w:rStyle w:val="4"/>
          <w:rFonts w:hint="eastAsia" w:ascii="Arial Unicode MS" w:hAnsi="Arial Unicode MS" w:eastAsia="Arial Unicode MS" w:cs="Arial Unicode MS"/>
          <w:sz w:val="22"/>
          <w:szCs w:val="22"/>
          <w:highlight w:val="yellow"/>
        </w:rPr>
        <w:t>https://bvsms.saude.gov.br/bvs/saudelegis/cns/1999/res0292_08_07_1999.html</w:t>
      </w:r>
      <w:r>
        <w:rPr>
          <w:rFonts w:hint="eastAsia" w:ascii="Arial Unicode MS" w:hAnsi="Arial Unicode MS" w:eastAsia="Arial Unicode MS" w:cs="Arial Unicode MS"/>
          <w:sz w:val="22"/>
          <w:szCs w:val="22"/>
          <w:highlight w:val="yellow"/>
        </w:rPr>
        <w:fldChar w:fldCharType="end"/>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CONSELHO NACIONAL DE SAÚDE RESOLUÇÃO Nº 292, DE 08 DE JULHO DE 1999. O Plenário do Conselho Nacional de Saúde em sua Octogésima Oitava Reunião Ordinária, realizada nos dias 07 e 08 de julho de 1999, no uso de suas competências regimentais e atribuições conferidas pela Lei 8.080, de 19 de setembro de 1990, e pela Lei 8.142, de 28 de dezembro de 1990, e CONSIDERANDO a necessidade de regulamentação complementar da Resolução CNS nº 196/96 (Diretrizes e Normas Regulamentadoras de Pesquisas Envolvendo Seres Humanos), atribuição da CONEP conforme item VIII. 4.d da mesma Resolução, no que diz respeito à área temática especial pesquisas coordenadas do exterior ou com participação estrangeira e pesquisas que envolvam remessa de material biológico para o exterior (item VIII.4.c.8), RESOLVE aprovar a seguinte norma: I Definição: São consideradas pesquisas coordenadas do exterior ou com participação estrangeira, as que envolvem, na sua promoção e/ou execução: a) a colaboração de pessoas física ou jurídica estrangeira, seja pública ou privada; b) o envio e/ou recebimento de materiais biológicos oriundos do ser humano; c) o envio e/ou recebimento de dados e informações coletadas para agregação nos resultados da pesquisa; d) os estudos multicêntricos internacionais. I.1 Respeitadas as condições acima, não se incluem nessa área temática: a) pesquisas totalmente realizadas no país por pesquisador estrangeiro que pertença ao corpo técnico de entidade nacional; b) pesquisas desenvolvidas por multinacional com sede no país. II Em todas as pesquisas deve-se: II. 1 comprovar a participação brasileira e identificar o pesquisador e instituição nacionais coresponsáveis; II. 2 explicitar as responsabilidades, os direitos e obrigações, mediante acordo entre as partes envolvidas. III A presente Resolução incorpora todas as disposições contidas na Resolução nº 196/96 do Conselho Nacional de Saúde, sobre Diretrizes e Normas Regulamentadoras de Pesquisas Envolvendo Seres Humanos, da qual esta é parte complementar da área temática específica. III. 1 Resoluções do CNS referentes a outras áreas temáticas simultaneamente contempladas na pesquisa, deverão ser cumpridas, no que couber. IV Os ônus e benefícios advindos do processo de investigação e dos resultados da pesquisa devem ser distribuídos de forma justa entre as partes envolvidas, e devem estar explicitados no protocolo. V O pesquisador e a instituição nacionais devem estar atentos às normas e disposições legais sobre remessa de material para o exterior e às que protegem a propriedade industrial e/ou transferência tecnológica (Lei nº 9.279 de 14/05/96 que regula direitos e obrigações relativos à propriedade industrial, Decreto nº 2.553/98 que a regulamenta e Lei nº 9.610/98 sobre direito autoral), explicitando, quando couber, os acordos estabelecidos, além das normas legais vigentes sobre remessa de material biológico para o exterior. VI Durante o decurso da pesquisa os patrocinadores e pesquisadores devem comunicar aos Comitês de Ética em Pesquisa CEP, informações relevantes de interesse público, independentemente dos relatórios periódicos previstos. VII Na elaboração do protocolo deve-se zelar de modo especial pela apresentação dos seguintes itens: VII. 1 Documento de aprovação emitido por Comitê de Ética em Pesquisa ou equivalente de instituição do país de origem, que promoverá ou que também executará o projeto. VII. 2 Quando não estiver previsto o desenvolvimento do projeto no país de origem, a justificativa deve ser colocada no protocolo para apreciação do CEP da instituição brasileira. VII. 3 Detalhamento dos recursos financeiros envolvidos: fontes (se internacional e estrangeira e se há contrapartida nacional/institucional), forma e valor de remuneração do pesquisador e outros recursos humanos, gastos com infra-estrutura e impacto na rotina do serviço de saúde da instituição onde se realizará. Deve-se evitar, na medida do possível, que o aporte de recursos financeiros crie situações de discriminação entre profissionais e/ou entre usuários, uma ve</w:t>
      </w:r>
      <w:r>
        <w:rPr>
          <w:rFonts w:hint="eastAsia" w:ascii="Arial Unicode MS" w:hAnsi="Arial Unicode MS" w:eastAsia="Arial Unicode MS" w:cs="Arial Unicode MS"/>
          <w:sz w:val="22"/>
          <w:szCs w:val="22"/>
        </w:rPr>
        <w:t>z que esses recursos podem conduzir a benefícios extraordinários para os participantes e sujeitos da pesquisa. VII. 4 Declaração do promotor ou patrocinador, quando houver, de compromisso em cumprir os termos das resoluções do CNS relativas à ética na pesquisa que envolve seres humanos. VII. 5 Declaração do uso do material biológico e dos dados e informações coletados exclusivamente para os fins previstos no protocolo, de todos os que vão manipular o material. VII. 6 Parecer do pesquisador sobre o protocolo, caso tenha sido impossível a sua participação no delineamento do projeto. VIII Dentro das atribuições previstas no item VIII. 4.c.8 da Resolução nº 196/96, cabe à CONEP, após a aprovação do CEP institucional, apreciar as pesquisas enquadradas nessa área temática, ainda que simultaneamente enquadradas em outras. VIII. 1 Os casos omissos, referentes aos aspectos éticos da pesquisa, serão resolvidos pela Comissão Nacional de Ética em Pesquisa. JOSÉ SERRA Presidente do Conselho Nacional de Saúde Homologo a Resolução CNS nº 292, de 08 de julho de 1999, nos termos do Decreto de Delegação de Competência de 12 de novembro de 1991. JOSÉ SERRA Ministro de Estado da Saúde Regulamentação da Res. CNS 292/99 sobre pesquisas com cooperação estrangeira (aprovada no CNS em 08/08/2002) A Resolução CNS 292/99 define a área temática específica de pesquisas com cooperação estrangeira. Segundo o item VIII dessa Resolução, projetos abrangidos pela área, conforme definições, devem ter aprovação da CONEP, além daquela do CEP. A CONEP, com a experiência já acumulada (6 anos), julga cabível propor delegação de competência aos Comitês de Ética em Pesquisa - CEP, para análise final de parte dos projetos dessa área temática. Dessa forma e dadas as características e complexidades envolvidas na questão, a CONEP estabeleceu que: 1- Deverão continuar dependentes da aprovação pela CONEP os projetos de cooperação estrangeira que envolva: a) Fases I (um) e II (dois) b) Grupo comparativo de sujeitos de pesquisa mantidos, durante qualquer período, em regime de uso exclusivo de placebo e ou mesmo sem tratamento específico, incluindo período de wash-out; c) Armazenamento ou formação de banco de material biológico d) Medicamentos para HIV/AIDS 2- Poderá ser delegada ao CEP competência para a aprovação final dos demais projetos dessa área temática, desde que: a) o CEP manifeste essa opção, solicitando formalmente a CONEP a delegação de competência para aprovação final dos projetos; b) O CEP seja avaliado dentro de Programa de Avaliação proposto pela CONEP, considerando-se necessário, pelo menos, o cumprimento da primeira fase do programa, compreendendo: Análise dos questionários recebidos sobre organização e funcionamento do CEP; Análise dos dados de acompanhamento do CEP disponíveis na CONEP, incluindo relatórios e perfil de projetos recebidos no ano anterior com o índice de consistência entre os pareceres do CEP e da CONEP. c) o CEP exija a apresentação do protocolo completo, conforme itens específicos das Resoluções 196/96 e suas complementares, para efetiva apreciação. 3- A CONEP poderá solicitar ao CEP, a qualquer momento e a seu critério, o projeto completo para exame. 4- A delegação em pauta tem caráter experimental, podendo ser revista pela CONEP. Brasília, 07 de agosto de 2002. William Saad Hossne Comissão Nacional de Ética em Pesquisa Coordenador</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D542A6"/>
    <w:rsid w:val="263002A9"/>
    <w:rsid w:val="7459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2021-05-04T11:46:00Z</dcterms:created>
  <dc:creator>Guilherme</dc:creator>
  <cp:lastModifiedBy>Guilherme</cp:lastModifiedBy>
  <dcterms:modified xsi:type="dcterms:W3CDTF">2021-05-04T13:47:22Z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1046-11.2.0.10114</vt:lpwstr>
  </property>
</Properties>
</file>